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B46472">
      <w:pPr>
        <w:pStyle w:val="Heading110"/>
        <w:widowControl/>
        <w:shd w:val="clear" w:color="auto" w:fill="auto"/>
        <w:spacing w:after="360"/>
        <w:jc w:val="both"/>
      </w:pPr>
      <w:bookmarkStart w:id="0" w:name="bookmark0"/>
      <w:r>
        <w:t>Simulare a acțiunii împotriva schimbărilor climatice: terenuri, agricultură și silvicultură</w:t>
      </w:r>
      <w:bookmarkEnd w:id="0"/>
    </w:p>
    <w:p w:rsidR="0079525F" w:rsidRPr="00B46472" w:rsidRDefault="001725EE" w:rsidP="00B46472">
      <w:pPr>
        <w:pStyle w:val="Bodytext30"/>
        <w:widowControl/>
        <w:pBdr>
          <w:top w:val="single" w:sz="4" w:space="1" w:color="auto"/>
        </w:pBdr>
        <w:shd w:val="clear" w:color="auto" w:fill="auto"/>
        <w:tabs>
          <w:tab w:val="left" w:pos="1429"/>
        </w:tabs>
        <w:spacing w:before="0" w:after="120"/>
      </w:pPr>
      <w:r>
        <w:t>Destinatari:</w:t>
      </w:r>
      <w:r>
        <w:tab/>
        <w:t>Negociatorii-șefi ai Alianței pentru terenuri, agricultură și silvicultură</w:t>
      </w:r>
    </w:p>
    <w:p w:rsidR="0079525F" w:rsidRPr="00B46472" w:rsidRDefault="001725EE" w:rsidP="00B46472">
      <w:pPr>
        <w:pStyle w:val="Bodytext30"/>
        <w:widowControl/>
        <w:shd w:val="clear" w:color="auto" w:fill="auto"/>
        <w:tabs>
          <w:tab w:val="left" w:pos="1429"/>
        </w:tabs>
        <w:spacing w:before="0" w:after="120"/>
      </w:pPr>
      <w:r>
        <w:t>Subiect:</w:t>
      </w:r>
      <w:r>
        <w:tab/>
        <w:t xml:space="preserve">Pregătirea </w:t>
      </w:r>
      <w:proofErr w:type="spellStart"/>
      <w:r>
        <w:t>summitului</w:t>
      </w:r>
      <w:proofErr w:type="spellEnd"/>
      <w:r>
        <w:t xml:space="preserve"> pentru acțiuni climatice</w:t>
      </w:r>
    </w:p>
    <w:p w:rsidR="00E52D31" w:rsidRDefault="00E52D31" w:rsidP="00B46472">
      <w:pPr>
        <w:pStyle w:val="Bodytext20"/>
        <w:widowControl/>
        <w:shd w:val="clear" w:color="auto" w:fill="auto"/>
        <w:spacing w:before="0" w:after="120"/>
        <w:ind w:firstLine="0"/>
        <w:jc w:val="both"/>
      </w:pPr>
    </w:p>
    <w:p w:rsidR="0079525F" w:rsidRPr="00B46472" w:rsidRDefault="001725EE" w:rsidP="00B46472">
      <w:pPr>
        <w:pStyle w:val="Bodytext20"/>
        <w:widowControl/>
        <w:shd w:val="clear" w:color="auto" w:fill="auto"/>
        <w:spacing w:before="0" w:after="120"/>
        <w:ind w:firstLine="0"/>
        <w:jc w:val="both"/>
      </w:pPr>
      <w:r>
        <w:t xml:space="preserve">Bine ați venit la </w:t>
      </w:r>
      <w:proofErr w:type="spellStart"/>
      <w:r>
        <w:t>summitul</w:t>
      </w:r>
      <w:proofErr w:type="spellEnd"/>
      <w:r>
        <w:t xml:space="preserve"> pentru acțiuni climatice. Împreună cu liderii tuturor părților interesate relevante, ați fost invitat de secretarul general al ONU să colaborați pentru a găsi soluții eficiente de combatere a schimbărilor climatice. În invitația sa, secretarul general </w:t>
      </w:r>
      <w:r>
        <w:rPr>
          <w:rStyle w:val="Bodytext21"/>
        </w:rPr>
        <w:t>a afirmat</w:t>
      </w:r>
      <w:r>
        <w:t>: „Urgența climatică este o cursă pe cale să o pierdem, deși o putem câștiga... Crema științei ... ne asigură că orice creștere a temperaturii cu peste 1,5 °C va produce daune majore și ireversibile ecosistemelor care ne țin în viață... Dar tot știința ne spune că nu este prea târziu. Putem reuși... Dar va fi nevoie de schimbări fundamentale în toate aspectele societății – cum ne vom obține hrana, cum vom utiliza terenurile, cum ne vom alimenta transporturile și ce energie vom folosi în economie... Dacă vom acționa împreună, nimeni nu va fi lăsat de-o parte.”</w:t>
      </w:r>
    </w:p>
    <w:p w:rsidR="0079525F" w:rsidRPr="00B46472" w:rsidRDefault="001725EE" w:rsidP="00B46472">
      <w:pPr>
        <w:pStyle w:val="Bodytext20"/>
        <w:widowControl/>
        <w:shd w:val="clear" w:color="auto" w:fill="auto"/>
        <w:spacing w:before="0" w:after="120"/>
        <w:ind w:firstLine="0"/>
        <w:jc w:val="both"/>
      </w:pPr>
      <w:r>
        <w:t xml:space="preserve">Obiectivul </w:t>
      </w:r>
      <w:proofErr w:type="spellStart"/>
      <w:r>
        <w:t>summitului</w:t>
      </w:r>
      <w:proofErr w:type="spellEnd"/>
      <w:r>
        <w:t xml:space="preserve"> este de a crea un plan de limitare a încălzirii globale la mai puțin de 2 C [3,6 F] comparativ cu nivelurile preindustriale și de a depune eforturi de limitare a ei la 1,5 C [2,7 F], acestea fiind țintele internaționale recunoscute în mod oficial în Acordul de la Paris privind schimbările climatice. </w:t>
      </w:r>
      <w:r>
        <w:rPr>
          <w:rStyle w:val="Bodytext21"/>
        </w:rPr>
        <w:t>Dovezile științifice</w:t>
      </w:r>
      <w:r>
        <w:t xml:space="preserve"> sunt clare: încălzirea peste această limită va genera efecte catastrofale și ireversibile care vor amenința sănătatea, prosperitatea și viața oamenilor din toate țările.</w:t>
      </w:r>
    </w:p>
    <w:p w:rsidR="0079525F" w:rsidRPr="00B46472" w:rsidRDefault="001725EE" w:rsidP="00B46472">
      <w:pPr>
        <w:pStyle w:val="Bodytext20"/>
        <w:widowControl/>
        <w:shd w:val="clear" w:color="auto" w:fill="auto"/>
        <w:spacing w:before="0" w:after="120"/>
        <w:ind w:firstLine="0"/>
        <w:jc w:val="both"/>
      </w:pPr>
      <w:r>
        <w:t>Grupul dumneavoastră include reprezentanți ai celor mai mari întreprinderi agricole, alimentare și de exploatare forestieră, ai celor mai mari proprietari de terenuri, ai ministerelor de silvicultură și agricultură și ai agențiilor de conservare a terenurilor. Grupul dumneavoastră se axează pe modul în care poate fi asigurată hrana pentru populația lumii, pe protecția pădurilor și abordarea, în același timp, a schimbărilor climatice.</w:t>
      </w:r>
    </w:p>
    <w:p w:rsidR="0079525F" w:rsidRPr="00B46472" w:rsidRDefault="001725EE" w:rsidP="00B46472">
      <w:pPr>
        <w:pStyle w:val="Bodytext20"/>
        <w:widowControl/>
        <w:shd w:val="clear" w:color="auto" w:fill="auto"/>
        <w:spacing w:before="0" w:after="120" w:line="244" w:lineRule="exact"/>
        <w:ind w:firstLine="0"/>
        <w:jc w:val="both"/>
      </w:pPr>
      <w:r>
        <w:t>Prioritățile dumneavoastră politice sunt enumerate mai jos. Puteți însă propune sau bloca orice soluție politică disponibilă.</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Gestionați defrișările. </w:t>
      </w:r>
      <w:r>
        <w:t xml:space="preserve">În prezent, defrișările sunt responsabile pentru aproximativ 15 % din emisiile de gaze cu efect de seră. Conservarea pădurilor poate reduce aceste emisii, protejând în același timp biodiversitatea și resursele de apă. Cu toate acestea, limitarea defrișărilor reduce și posibilitatea utilizării terenurilor respective pentru exploatarea forestieră, producția de alimente, </w:t>
      </w:r>
      <w:proofErr w:type="spellStart"/>
      <w:r>
        <w:t>bionenergie</w:t>
      </w:r>
      <w:proofErr w:type="spellEnd"/>
      <w:r>
        <w:t xml:space="preserve"> și alte utilizări deosebit de profitabile. </w:t>
      </w:r>
      <w:r>
        <w:rPr>
          <w:rStyle w:val="Bodytext23"/>
        </w:rPr>
        <w:t>Defrișările sunt cauzate atât de fermierii mici, cât și de populațiile rurale care au nevoie de lemn pentru combustibil, cât și de întreprinderile mari, care defrișează păduri pentru lemne și industria agroalimentară, inclusiv, de exemplu, prin transformarea pădurilor tropicale în plantații de palmieri pentru ulei sau pentru creșterea de animale și producție vegetală.</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Luați în considerare împăduririle. </w:t>
      </w:r>
      <w:r>
        <w:t>Împădurirea constă în plantarea de noi păduri pe terenuri pe care nu sunt copaci, uneori acestea fiind terenuri care au fost defrișate în trecut sau care s-au degradat. Pe măsură ce o pădure crește, ea captează CO</w:t>
      </w:r>
      <w:r>
        <w:rPr>
          <w:vertAlign w:val="subscript"/>
        </w:rPr>
        <w:t>2</w:t>
      </w:r>
      <w:r>
        <w:t xml:space="preserve"> din atmosferă și o stochează în biomasă și în soluri. Pădurile contribuie la conservarea habitatelor și a biodiversității, la încetinirea eroziunii și a degradării solului și protejează împotriva inundațiilor. Dacă sunt puse în aplicare pe scară largă, împăduririle ar putea utiliza terenurile necesare culturilor sau șeptelului, scumpind astfel alimentele printr-o concurență mai mare pentru terenuri. Luați în considerare terenurile necesare pentru a pune în practică politici țintite de împădurire.</w:t>
      </w:r>
    </w:p>
    <w:p w:rsidR="00D22C77" w:rsidRPr="00B46472" w:rsidRDefault="00D22C77" w:rsidP="00E52D31">
      <w:pPr>
        <w:pStyle w:val="Bodytext20"/>
        <w:keepNext/>
        <w:keepLines/>
        <w:widowControl/>
        <w:numPr>
          <w:ilvl w:val="0"/>
          <w:numId w:val="1"/>
        </w:numPr>
        <w:shd w:val="clear" w:color="auto" w:fill="auto"/>
        <w:tabs>
          <w:tab w:val="left" w:pos="366"/>
        </w:tabs>
        <w:spacing w:before="0" w:after="120"/>
        <w:ind w:left="403" w:firstLine="0"/>
        <w:jc w:val="both"/>
      </w:pPr>
      <w:r>
        <w:rPr>
          <w:b/>
        </w:rPr>
        <w:lastRenderedPageBreak/>
        <w:t>Luați în considerare emisiile de metan, protoxid de azot și alte gaze cu efect de seră.</w:t>
      </w:r>
    </w:p>
    <w:p w:rsidR="0079525F" w:rsidRPr="00B46472" w:rsidRDefault="001725EE" w:rsidP="00E52D31">
      <w:pPr>
        <w:pStyle w:val="Bodytext20"/>
        <w:keepNext/>
        <w:keepLines/>
        <w:widowControl/>
        <w:shd w:val="clear" w:color="auto" w:fill="auto"/>
        <w:spacing w:before="0" w:after="120"/>
        <w:ind w:left="403" w:firstLine="0"/>
        <w:jc w:val="both"/>
      </w:pPr>
      <w:r>
        <w:rPr>
          <w:b/>
          <w:bCs/>
        </w:rPr>
        <w:t>CO</w:t>
      </w:r>
      <w:r>
        <w:rPr>
          <w:b/>
          <w:bCs/>
          <w:vertAlign w:val="subscript"/>
        </w:rPr>
        <w:t>2</w:t>
      </w:r>
      <w:r>
        <w:t xml:space="preserve"> este cel mai important gaz cu efect de seră (GES), dar alte gaze, printre care metanul (CH</w:t>
      </w:r>
      <w:r>
        <w:rPr>
          <w:vertAlign w:val="subscript"/>
        </w:rPr>
        <w:t>4</w:t>
      </w:r>
      <w:r>
        <w:t>) și protoxidul de azot (N</w:t>
      </w:r>
      <w:r>
        <w:rPr>
          <w:vertAlign w:val="subscript"/>
        </w:rPr>
        <w:t>2</w:t>
      </w:r>
      <w:r>
        <w:t>O), provoacă circa un sfert din încălzirea globală, iar concentrațiile acestora în atmosferă sunt în creștere. Într-un interval de o sută de ani, o moleculă de CH</w:t>
      </w:r>
      <w:r>
        <w:rPr>
          <w:vertAlign w:val="subscript"/>
        </w:rPr>
        <w:t>4</w:t>
      </w:r>
      <w:r>
        <w:t xml:space="preserve"> contribuie de aproximativ 25 ori mai mult la încălzire decât o moleculă de CO</w:t>
      </w:r>
      <w:r>
        <w:rPr>
          <w:vertAlign w:val="subscript"/>
        </w:rPr>
        <w:t>2</w:t>
      </w:r>
      <w:r>
        <w:t>, în timp ce N</w:t>
      </w:r>
      <w:r>
        <w:rPr>
          <w:vertAlign w:val="subscript"/>
        </w:rPr>
        <w:t>2</w:t>
      </w:r>
      <w:r>
        <w:t>O are o contribuție de aproape 300 de ori mai mare față de CO</w:t>
      </w:r>
      <w:r>
        <w:rPr>
          <w:smallCaps/>
        </w:rPr>
        <w:t>2</w:t>
      </w:r>
      <w:r>
        <w:t>. Practicile agricole actuale și producția animalieră sunt surse majore ale CH</w:t>
      </w:r>
      <w:r>
        <w:rPr>
          <w:vertAlign w:val="subscript"/>
        </w:rPr>
        <w:t>4</w:t>
      </w:r>
      <w:r>
        <w:t xml:space="preserve"> , iar N</w:t>
      </w:r>
      <w:r>
        <w:rPr>
          <w:vertAlign w:val="subscript"/>
        </w:rPr>
        <w:t>2</w:t>
      </w:r>
      <w:r>
        <w:t xml:space="preserve">O este generată în principal prin utilizarea îngrășămintelor. Tehnologiile și practicile inovatoare pot reduce aceste emisii cu costuri scăzute, însă mulți ecologiști fac apel și la reglementări (de exemplu, limitări privind utilizarea îngrășămintelor) sau la schimbări ale stilului de viață al oamenilor (de exemplu, reduceri ale consumului de carne și ale risipei de alimente), care ar putea afecta rentabilitatea industriilor agricole și zootehnice. Sunteți reticenți în a sprijini astfel de politici, chiar dacă ele ar putea conduce la reduceri semnificative ale acestor emisii. De asemenea, o gamă largă de </w:t>
      </w:r>
      <w:proofErr w:type="spellStart"/>
      <w:r>
        <w:t>fluorocarburi</w:t>
      </w:r>
      <w:proofErr w:type="spellEnd"/>
      <w:r>
        <w:t xml:space="preserve"> și de compuși asociați („gaze fluorurate”) contribuie la încălzirea climei. Gazele fluorurate sunt utilizate în procesele industriale și în produsele de consum (de exemplu, agenți frigorifici, solvenți). În prezent, concentrațiile sunt scăzute, dar multe gaze fluorurate contribuie cu mii de ori mai mult la încălzire decât CO</w:t>
      </w:r>
      <w:r>
        <w:rPr>
          <w:vertAlign w:val="subscript"/>
        </w:rPr>
        <w:t>2</w:t>
      </w:r>
      <w:r>
        <w:t>. Puteți acorda sprijin politicilor de reducere a gazelor fluorurate, fără ca acest sprijin să afecteze în mod negativ grupul dumneavoastră.</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Subvenționați energia din surse regenerabile. </w:t>
      </w:r>
      <w:r>
        <w:t xml:space="preserve">Emisiile generate de combustibilii fosili, și nu utilizarea terenurilor, sunt cel mai important factor care contribuie la schimbările climatice. Sprijiniți înlocuirea combustibililor fosili cu energie curată la prețuri accesibile pentru funcționarea utilajelor și pentru transportul de alimente. </w:t>
      </w:r>
      <w:r>
        <w:rPr>
          <w:rStyle w:val="Bodytext23"/>
        </w:rPr>
        <w:t xml:space="preserve">Fermierii și proprietarii de terenuri pot instala panouri solare și turbine eoliene, folosind cea mai mare parte a terenurilor lor pentru culturi și animale; dumneavoastră acordați subvenții pentru tehnologii energetice curate. </w:t>
      </w:r>
      <w:r>
        <w:t>Marile companii de exploatare forestieră și întreprinderile agricole mari se opun unor politici precum impunerea unui preț pe carbon pentru combustibilii fosili, întrucât acestea ar crește costurile de exploatare, dar grupurile de conservare a terenurilor susțin aceste politici de reducere a emisiilor de CO</w:t>
      </w:r>
      <w:r>
        <w:rPr>
          <w:vertAlign w:val="subscript"/>
        </w:rPr>
        <w:t>2</w:t>
      </w:r>
      <w:r>
        <w:t>.</w:t>
      </w:r>
    </w:p>
    <w:p w:rsidR="0079525F" w:rsidRPr="00B46472" w:rsidRDefault="001725EE" w:rsidP="00B46472">
      <w:pPr>
        <w:pStyle w:val="Bodytext50"/>
        <w:widowControl/>
        <w:shd w:val="clear" w:color="auto" w:fill="auto"/>
        <w:spacing w:before="0"/>
      </w:pPr>
      <w:r>
        <w:t>Considerații suplimentare</w:t>
      </w:r>
    </w:p>
    <w:p w:rsidR="0079525F" w:rsidRPr="00B46472" w:rsidRDefault="001725EE" w:rsidP="00B46472">
      <w:pPr>
        <w:pStyle w:val="Bodytext20"/>
        <w:widowControl/>
        <w:shd w:val="clear" w:color="auto" w:fill="auto"/>
        <w:spacing w:before="0" w:after="120"/>
        <w:ind w:firstLine="0"/>
        <w:jc w:val="both"/>
      </w:pPr>
      <w:r>
        <w:t>Populația mondială este în prezent de aproximativ 7,7 miliarde de locuitori, iar proiecțiile ONU prevăd peste 9 miliarde până în 2050 și aproape 11 miliarde până în 2100. Creșterea populației și creșterea veniturilor duc la o cerere tot mai mare de recolte, carne, lemn, fibră și alte produse care presupun existența unor suprafețe foarte mari de teren. În prezent, aproximativ un miliard de oameni nu dispun de alimente adecvate, ceea ce provoacă malnutriție și foamete în multe țări. Cu toate acestea, potrivit Organizației Națiunilor Unite pentru Alimentație și Agricultură, 30 % din producția mondială de alimente este irosită, contribuind cu 8 % la emisiile globale de gaze cu efect de seră.</w:t>
      </w:r>
    </w:p>
    <w:p w:rsidR="0079525F" w:rsidRPr="00B46472" w:rsidRDefault="001725EE" w:rsidP="00B46472">
      <w:pPr>
        <w:pStyle w:val="Bodytext20"/>
        <w:widowControl/>
        <w:shd w:val="clear" w:color="auto" w:fill="auto"/>
        <w:spacing w:before="0" w:after="120"/>
        <w:ind w:firstLine="0"/>
        <w:jc w:val="both"/>
      </w:pPr>
      <w:r>
        <w:t>Reducerea risipei de alimente, creșterea randamentului culturilor și încurajarea alimentației sănătoase pe bază de plante pot fi posibilități de a satisface cererea tot mai mare de alimente, fără a utiliza mai multe terenuri, reducând în același timp emisiile de gaze cu efect de seră provenite din sectorul agricol. Posibilitățile de care dispuneți în acest sens sunt limitate până la momentul în care aceste politici vor determina creșterea prețurilor la alimente. Din cauza costurilor ridicate ale alimentelor, cei care au cea mai mare nevoie de ele ar putea rămâne fără ele. Promovarea regimurilor alimentare pe bază de plante va afecta și financiar, industria de creștere a animalelor aflată în continuă creștere.</w:t>
      </w:r>
    </w:p>
    <w:p w:rsidR="0079525F" w:rsidRPr="00B46472" w:rsidRDefault="001725EE" w:rsidP="00B46472">
      <w:pPr>
        <w:pStyle w:val="Bodytext20"/>
        <w:widowControl/>
        <w:shd w:val="clear" w:color="auto" w:fill="auto"/>
        <w:spacing w:before="0" w:after="120"/>
        <w:ind w:firstLine="0"/>
        <w:jc w:val="both"/>
      </w:pPr>
      <w:r>
        <w:t>Într-o mare parte a lumii, va fi dificil să se schimbe utilizarea terenurilor și metodele agricole. În multe țări în curs de dezvoltare, beneficiile potențiale ale agriculturii inteligente din punct de vedere climatic sunt ridicate, însă corupția și lipsa de supraveghere fac dificilă punerea în aplicare a politicilor de utilizare a terenurilor. Eforturile anterioare de a reduce defrișările, în special în Brazilia și Indonezia, au fost doar parțial încununate de succes. Defrișările ilegale rămân o problemă importantă. Unele guverne subvenționează în mod activ despăduririle pentru a promova exploatarea forestieră și industria agroalimentară și pentru a oferi terenuri pentru populație.</w:t>
      </w:r>
    </w:p>
    <w:p w:rsidR="0079525F" w:rsidRDefault="001725EE" w:rsidP="00B46472">
      <w:pPr>
        <w:pStyle w:val="Bodytext20"/>
        <w:widowControl/>
        <w:shd w:val="clear" w:color="auto" w:fill="auto"/>
        <w:spacing w:before="0" w:after="120"/>
        <w:ind w:firstLine="0"/>
        <w:jc w:val="both"/>
      </w:pPr>
      <w:r>
        <w:lastRenderedPageBreak/>
        <w:t>În ciuda acestor provocări, schimbările climatice reprezintă o amenințare majoră pentru membrii grupului dumneavoastră. Intensificarea inundațiilor, a secetei, a valurilor de căldură, a incendiilor de vegetație și a creșterii nivelului mării distruge deja terenul arabil, reduce randamentul culturilor, aduce daune pădurilor și prejudiciază profiturile. Impactul schimbărilor climatice și al dislocărilor geopolitice creează riscuri grave pentru activele dumneavoastră, pentru forța de muncă, pentru lanțurile de aprovizionare, pentru clienți și pentru rentabilitate. Deși schimbarea va fi dificilă, iar unii vor fi afectați și din punct de vedere financiar, alianța dumneavoastră poate contribui la găsirea unei soluții pentru reducerea emisiilor, prin îmbunătățirea gestionării terenurilor și a practicilor agricole.</w:t>
      </w:r>
    </w:p>
    <w:p w:rsidR="00E52D31" w:rsidRPr="00D22C77" w:rsidRDefault="00E52D31" w:rsidP="00B46472">
      <w:pPr>
        <w:pStyle w:val="Bodytext20"/>
        <w:widowControl/>
        <w:shd w:val="clear" w:color="auto" w:fill="auto"/>
        <w:spacing w:before="0" w:after="120"/>
        <w:ind w:firstLine="0"/>
        <w:jc w:val="both"/>
      </w:pPr>
      <w:bookmarkStart w:id="1" w:name="_GoBack"/>
      <w:bookmarkEnd w:id="1"/>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Elaborat de „Climate Interactive”, inițiativa pentru dezvoltare durabilă a „</w:t>
    </w:r>
    <w:proofErr w:type="spellStart"/>
    <w:r>
      <w:rPr>
        <w:rFonts w:ascii="Times New Roman" w:hAnsi="Times New Roman"/>
        <w:sz w:val="20"/>
        <w:szCs w:val="20"/>
      </w:rPr>
      <w:t>Sloan</w:t>
    </w:r>
    <w:proofErr w:type="spellEnd"/>
    <w:r>
      <w:rPr>
        <w:rFonts w:ascii="Times New Roman" w:hAnsi="Times New Roman"/>
        <w:sz w:val="20"/>
        <w:szCs w:val="20"/>
      </w:rPr>
      <w:t xml:space="preserve"> </w:t>
    </w:r>
    <w:proofErr w:type="spellStart"/>
    <w:r>
      <w:rPr>
        <w:rFonts w:ascii="Times New Roman" w:hAnsi="Times New Roman"/>
        <w:sz w:val="20"/>
        <w:szCs w:val="20"/>
      </w:rPr>
      <w:t>School</w:t>
    </w:r>
    <w:proofErr w:type="spellEnd"/>
    <w:r>
      <w:rPr>
        <w:rFonts w:ascii="Times New Roman" w:hAnsi="Times New Roman"/>
        <w:sz w:val="20"/>
        <w:szCs w:val="20"/>
      </w:rPr>
      <w:t xml:space="preserve"> of Management” a MIT, ESB Business </w:t>
    </w:r>
    <w:proofErr w:type="spellStart"/>
    <w:r>
      <w:rPr>
        <w:rFonts w:ascii="Times New Roman" w:hAnsi="Times New Roman"/>
        <w:sz w:val="20"/>
        <w:szCs w:val="20"/>
      </w:rPr>
      <w:t>School</w:t>
    </w:r>
    <w:proofErr w:type="spellEnd"/>
    <w:r>
      <w:rPr>
        <w:rFonts w:ascii="Times New Roman" w:hAnsi="Times New Roman"/>
        <w:sz w:val="20"/>
        <w:szCs w:val="20"/>
      </w:rPr>
      <w:t xml:space="preserve"> și de inițiativa privind schimbările climatice a Universității Massachusetts </w:t>
    </w:r>
    <w:proofErr w:type="spellStart"/>
    <w:r>
      <w:rPr>
        <w:rFonts w:ascii="Times New Roman" w:hAnsi="Times New Roman"/>
        <w:sz w:val="20"/>
        <w:szCs w:val="20"/>
      </w:rPr>
      <w:t>Lowell</w:t>
    </w:r>
    <w:proofErr w:type="spellEnd"/>
    <w:r>
      <w:rPr>
        <w:rFonts w:ascii="Times New Roman" w:hAnsi="Times New Roman"/>
        <w:sz w:val="20"/>
        <w:szCs w:val="20"/>
      </w:rPr>
      <w:t xml:space="preserve">. Ultima actualizare: septembrie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5F"/>
    <w:rsid w:val="001406F6"/>
    <w:rsid w:val="001725EE"/>
    <w:rsid w:val="001A3210"/>
    <w:rsid w:val="001B18C8"/>
    <w:rsid w:val="003C340F"/>
    <w:rsid w:val="004C3831"/>
    <w:rsid w:val="00571241"/>
    <w:rsid w:val="0079525F"/>
    <w:rsid w:val="009A4FF5"/>
    <w:rsid w:val="00B46472"/>
    <w:rsid w:val="00BB74AE"/>
    <w:rsid w:val="00C32574"/>
    <w:rsid w:val="00D22C77"/>
    <w:rsid w:val="00E52D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8C817D"/>
  <w15:docId w15:val="{FC11A30D-6E3D-46A1-AEAA-2F830FAEBF7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ro-RO"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ro-RO"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ro-RO"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o-RO"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ro-RO"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CTJJHAUHWN5E-644613129-3158</_dlc_DocId>
    <_dlc_DocIdUrl xmlns="bfc960a6-20da-4c94-8684-71380fca093b">
      <Url>http://dm2016/eesc/2019/_layouts/15/DocIdRedir.aspx?ID=CTJJHAUHWN5E-644613129-3158</Url>
      <Description>CTJJHAUHWN5E-644613129-3158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E44E019F-04D7-4B73-8D5E-F63B2E4C0002}"/>
</file>

<file path=customXml/itemProps2.xml><?xml version="1.0" encoding="utf-8"?>
<ds:datastoreItem xmlns:ds="http://schemas.openxmlformats.org/officeDocument/2006/customXml" ds:itemID="{CF7BE689-1A3D-4B29-9897-92F1C9299CF0}"/>
</file>

<file path=customXml/itemProps3.xml><?xml version="1.0" encoding="utf-8"?>
<ds:datastoreItem xmlns:ds="http://schemas.openxmlformats.org/officeDocument/2006/customXml" ds:itemID="{67E06CBD-4B4A-4AEC-993C-3FCABA4038B6}"/>
</file>

<file path=customXml/itemProps4.xml><?xml version="1.0" encoding="utf-8"?>
<ds:datastoreItem xmlns:ds="http://schemas.openxmlformats.org/officeDocument/2006/customXml" ds:itemID="{016FDBEC-2139-48DD-8870-B62A97B79D9B}"/>
</file>

<file path=docProps/app.xml><?xml version="1.0" encoding="utf-8"?>
<Properties xmlns="http://schemas.openxmlformats.org/officeDocument/2006/extended-properties" xmlns:vt="http://schemas.openxmlformats.org/officeDocument/2006/docPropsVTypes">
  <Template>Styles.dotm</Template>
  <TotalTime>2</TotalTime>
  <Pages>3</Pages>
  <Words>1388</Words>
  <Characters>7915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Documente de lucru - Grupul 4 - Terenuri, agricultură și silvicultură</dc:title>
  <dc:creator>Greff Daniela</dc:creator>
  <cp:keywords>EESC-2019-05163-03-00-INFO-TRA-EN</cp:keywords>
  <dc:description>Rapporteur:  - Original language: EN - Date of document: 11/12/2019 - Date of meeting:  - External documents:  - Administrator: MME LAHOUSSE Chloé</dc:description>
  <cp:lastModifiedBy>Daniela Greff</cp:lastModifiedBy>
  <cp:revision>3</cp:revision>
  <dcterms:created xsi:type="dcterms:W3CDTF">2019-12-11T10:43:00Z</dcterms:created>
  <dcterms:modified xsi:type="dcterms:W3CDTF">2019-12-11T10:45:00Z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527f8150-9f67-4f16-8359-d6b91e3e432c</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57;#RO|feb747a2-64cd-4299-af12-4833ddc30497;#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CS|72f9705b-0217-4fd3-bea2-cbc7ed80e26e;SR|7f3a1d13-b985-4bfd-981e-afe31377edff;FI|87606a43-d45f-42d6-b8c9-e1a3457db5b7;LV|46f7e311-5d9f-4663-b433-18aeccb7ace7;IT|0774613c-01ed-4e5d-a25d-11d2388de825;PL|1e03da61-4678-4e07-b136-b5024ca9197b;BG|1a1b3951-7821-4e6a-85f5-5673fc08bd2c;SK|46d9fce0-ef79-4f71-b89b-cd6aa82426b8;HU|6b229040-c589-4408-b4c1-4285663d20a8;SL|98a412ae-eb01-49e9-ae3d-585a81724cfc;MT|7df99101-6854-4a26-b53a-b88c0da02c26;PT|50ccc04a-eadd-42ae-a0cb-acaf45f812ba;DE|f6b31e5a-26fa-4935-b661-318e46daf27e;EL|6d4f4d51-af9b-4650-94b4-4276bee85c91;TR|6e4ededd-04c4-4fa0-94e0-1028050302d5;EN|f2175f21-25d7-44a3-96da-d6a61b075e1b;SV|c2ed69e7-a339-43d7-8f22-d93680a92aa0;ES|e7a6b05b-ae16-40c8-add9-68b64b03aeba;ME|925b3da5-5ac0-4b3c-928c-6ef66a5c9b3c;NL|55c6556c-b4f4-441d-9acf-c498d4f838bd;ET|ff6c3f4c-b02c-4c3c-ab07-2c37995a7a0a;LT|a7ff5ce7-6123-4f68-865a-a57c31810414;FR|d2afafd3-4c81-4f60-8f52-ee33f2f54ff3;SQ|5ac17240-8d11-45ec-9893-659b209d7a00;GA|762d2456-c427-4ecb-b312-af3dad8e258c;DA|5d49c027-8956-412b-aa16-e85a0f96ad0e</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65;#ET|ff6c3f4c-b02c-4c3c-ab07-2c37995a7a0a;#153;#SR|7f3a1d13-b985-4bfd-981e-afe31377edff;#152;#MK|34ce48bb-063e-4413-a932-50853dc71c5c;#62;#FI|87606a43-d45f-42d6-b8c9-e1a3457db5b7;#60;#HU|6b229040-c589-4408-b4c1-4285663d20a8;#59;#HR|2f555653-ed1a-4fe6-8362-9082d95989e5;#58;#LV|46f7e311-5d9f-4663-b433-18aeccb7ace7;#64;#PT|50ccc04a-eadd-42ae-a0cb-acaf45f812ba;#56;#SL|98a412ae-eb01-49e9-ae3d-585a81724cfc;#55;#BG|1a1b3951-7821-4e6a-85f5-5673fc08bd2c;#52;#DA|5d49c027-8956-412b-aa16-e85a0f96ad0e;#49;#EL|6d4f4d51-af9b-4650-94b4-4276bee85c91;#48;#LT|a7ff5ce7-6123-4f68-865a-a57c31810414;#46;#CS|72f9705b-0217-4fd3-bea2-cbc7ed80e26e;#45;#NL|55c6556c-b4f4-441d-9acf-c498d4f838bd;#154;#SQ|5ac17240-8d11-45ec-9893-659b209d7a00;#38;#SV|c2ed69e7-a339-43d7-8f22-d93680a92aa0;#63;#MT|7df99101-6854-4a26-b53a-b88c0da02c26;#25;#SK|46d9fce0-ef79-4f71-b89b-cd6aa82426b8;#21;#IT|0774613c-01ed-4e5d-a25d-11d2388de825;#17;#ES|e7a6b05b-ae16-40c8-add9-68b64b03aeba;#16;#PL|1e03da61-4678-4e07-b136-b5024ca9197b;#14;#DE|f6b31e5a-26fa-4935-b661-318e46daf27e;#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57;#RO|feb747a2-64cd-4299-af12-4833ddc30497</vt:lpwstr>
  </property>
</Properties>
</file>